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1D" w:rsidRPr="00AF261D" w:rsidRDefault="00AF261D" w:rsidP="00AF26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7F8081"/>
          <w:sz w:val="20"/>
          <w:szCs w:val="20"/>
          <w:lang w:eastAsia="ru-RU"/>
        </w:rPr>
      </w:pPr>
      <w:r w:rsidRPr="00AF261D"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  <w:t>Отчет Аудиторской организац</w:t>
      </w:r>
      <w:proofErr w:type="gramStart"/>
      <w:r w:rsidRPr="00AF261D"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  <w:t>ии ООО</w:t>
      </w:r>
      <w:proofErr w:type="gramEnd"/>
      <w:r w:rsidRPr="00AF261D"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  <w:t xml:space="preserve"> «Урал-Аудит» о своей деятельности за 2014 год</w:t>
      </w:r>
    </w:p>
    <w:p w:rsidR="00AF261D" w:rsidRPr="00AF261D" w:rsidRDefault="00AF261D" w:rsidP="00AF261D">
      <w:pPr>
        <w:spacing w:before="100" w:beforeAutospacing="1" w:after="119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6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"Рекомендациям аудиторским организациям по раскрытию информации на своем официальном Интернет-сайте", одобренным советом по аудиторской деятельности 19 июня 2014г., протокол №13.</w:t>
      </w:r>
    </w:p>
    <w:p w:rsidR="00AF261D" w:rsidRPr="00AF261D" w:rsidRDefault="00AF261D" w:rsidP="00AF261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5259"/>
      </w:tblGrid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  <w:t>Раскрываемая информация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  <w:t>Содержание раскрываемой информации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Распределение долей уставного капитала между собственниками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Аудиторы -86 %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Физические лица - 100%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Членство в саморегулируемой организации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 СРО НП РКА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свидетельство № 0114-ю, основной регистрационный номер – 1020502745 (решение Совета РКА от 05.09.2000г.)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ОРНЗ 10205027245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Участие в сети аудиторских организаций, в том числе международных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участвует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системы корпоративного управления аудиторской организации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- общее руководство деятельностью Общества.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Система внутреннего контроля качества аудиторской организации устанавливает принципы и процедуры в отношении следующих элементов: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обязанности руководства аудиторской организации по обеспечению качества услуг, оказываемых аудиторской организацией;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этические требования;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принятие на обслуживание нового клиента и продолжение сотрудничества;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кадровая работа;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выполнение задания;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е) мониторинг.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Основные принципы деятельности компании устанавливают необходимость оказания аудиторских услуг в соответствии с федеральными, внутренними стандартами аудиторской деятельности, стандартами СРО НП РКА, Кодексом этики аудиторов России. Внутренними стандартами качества аудиторской деятельности, которые регулируют систему контроля качества в организации, являются ФПСАД № 34, ФПСАД №7.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Принципы независимости компании определяют требования в отношении независимости работников аудиторской организации; выявление и оценку угроз независимости, а также определяют действия для устранения таких угроз или сведения их до приемлемого </w:t>
            </w: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уровня.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Принятие на обслуживание нового клиента и продолжение сотрудничества определяется анализом и оценкой информации о деятельности клиента и оценкой возможностей, профессиональной компетентности, временных рамок и ресурсов аудиторской организации для одобрения вопросов сотрудничества.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Кадровая политика компании направлена на обеспечение компании кадровым составом, владеющим необходимыми знаниями, опытом, соблюдающим этические принципы, способным выполнять задания в соответствии с федеральными правилами (стандартами) аудиторской деятельности и требованиями нормативных правовых актов Российской Федерации. Развитие навыков и профессиональной компетентности работников осуществляется посредством: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профессионального образования;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постоянного профессионального обучения, в том числе проведением семинаров и тренингов;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приобретения опыта в процессе работы;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г) обучения менее опытных специалистов более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опытными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 том числе внутри аудиторской группы.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качества выполнения заданий по аудиту определяет: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надзор за выполнением задания - осуществляется руководителем аудиторской проверки и включает: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наблюдение за ходом выполнения задания по аудиту;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оценку навыков и профессиональной компетентности 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 решение значимых вопросов, возникающих в ходе выполнения задания по аудиту, оценку их значимости и в случае необходимости соответствующее изменение запланированного подхода;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б) обзорную проверку качества выполнения задания – проводится руководящим сотрудником аудиторской организации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оценка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значимых суждений и выводов аудиторской группы, сформированные по результатам аудита до выдачи аудиторского заключения;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мониторинг завершенных заданий по аудиту - проводится ежемесячно руководящим сотрудником аудиторской организации и осуществляется с целью достижения разумной уверенности в том, что система контроля качества функционирует в компании эффективно.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Руководство аудиторской организации заявляет об ответственности за разработку, внедрение, мониторинг и обеспечение соблюдения на постоянной основе правил и процедур обеспечения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качества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предоставляемых аудиторских услуг, сопутствующих аудиту и прочих связанных с аудиторской деятельностью услуг, основанных на принципах независимости и профессиональной этики аудиторов.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Надзор за выполнением задания, обзорная проверка качества, а также мониторинг системы внутреннего контроля качества аудиторской деятельности проводятся на каждом этапе осуществления аудиторских процедур, непрерывно на протяжении рабочего года.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Проверка по результатам качества аудиторской деятельности проведена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Росфиннадзором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январе 2013 г. за период работы 2009-2012 гг.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факта проведения внутренней проверки соблюдения независимости</w:t>
            </w:r>
            <w:proofErr w:type="gramEnd"/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Исполнительный орган  ООО «Урал-Аудит» подтверждает, что меры, принимаемые аудиторской организацией для обеспечения своей независимости на применении Кодекса профессиональной этики аудиторов и Правил независимости аудиторов и аудиторских организаций, обеспечивают: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личную независимость сотрудников;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сотрудников по вопросам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независимости и подтверждение независимости;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выявление угроз нарушения независимости, меры, предпринятые или предполагаемые аудиторской организацией для снижения и/или профилактики риска дальнейших нарушений.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Внутренние проверки соблюдения условий независимости аудиторов и аудиторской организации, документирование результатов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завершенных аудиторских заданий.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Заявление исполнительного органа аудиторской организации об исполнен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ии ау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"Об аудиторской деятельности"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Исполнительный орган ООО «Урал-Аудит» подтверждает, что аудиторы организации проходят ежегодное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по программам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повышения квалификации, утверждаемым саморегулируемой организацией аудиторов, членом которой он является. Минимальная продолжительность такого обучения составляет не менее 120 часов за три последовательных календарных года, и не менее 40 часов каждый год.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bookmarkEnd w:id="0"/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Описание принимаемых аудиторской </w:t>
            </w: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организацией мер по обеспечению ротации старшего персонала в составе аудиторской группы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В соответствии с ФПСАД N 34 "Контроль качества услуг в </w:t>
            </w: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аудиторских организациях" в ООО «ЭФА» разработаны принципы и процедуры, обеспечивающие периодическую (не реже одного раза в семь лет) ротацию работников, осуществляющих руководство аудитом бухгалтерской отчетности одного и того же общественно значимого хозяйствующего субъекта на разных уровнях.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Меры по обеспечению ротации старшего персонала в составе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аудиторской проверкой одного и того же общественно значимого хозяйствующего субъекта на разных уровнях.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261D" w:rsidRPr="00AF261D" w:rsidTr="00AF261D">
        <w:trPr>
          <w:tblCellSpacing w:w="15" w:type="dxa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Сведения о выручке аудиторской организации за прошлый отчетный год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Выручк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 ООО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«Урал-Аудит» за прошлый отчетный год составила 3056,9 т. руб., в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общий аудит - 2182,7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услуги - 874,2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F261D" w:rsidRPr="00AF261D" w:rsidRDefault="00AF261D" w:rsidP="00AF2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F261D" w:rsidRPr="00AF261D" w:rsidRDefault="00AF261D" w:rsidP="00AF2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AF261D" w:rsidRPr="00AF261D" w:rsidTr="00AF261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Аудиторские заключения, выданные в 2015 году</w:t>
            </w: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F261D" w:rsidRPr="00AF261D" w:rsidRDefault="00AF261D" w:rsidP="00AF2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356"/>
        <w:gridCol w:w="2508"/>
      </w:tblGrid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организаций, поименованных в части 3 статьи 5 Федерального закона от 30.12.2008 № 307-ФЗ**, в которых проводился обязательный аудит в период 2015 год и их юридические  адреса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Период, за который был проведен аудит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Медавтотранс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426028,УР, г. Ижевск, ул. Маяковского, 33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«Ремонтно-монтажное управление Министерства здравоохранения Удмуртской республики» 426009, г. Ижевск, ул. Ленина, дом 100/3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«Ижевская республиканская типография» 426057, г. Ижевск, ул. Пастухова, д. 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прочих организаций, в которых проводился обязательный аудит в период 2015 году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«Летний сад им. Горького»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«Речной порт Сарапул»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ОАО «Автовокзалы Удмуртии» 426000, г. Ижевск, ул.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Красноармейская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«Ижевское производственное объединение пассажирского автотранспорта»426039, УР, г. Ижевск, ул. Буммашевская, 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Сарапульский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электрогенераторный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завод»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ОАО «Камский завод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ЖБИиК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427413, УР,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Воткинский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п. Новый, ул.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Построечная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СтройКомплект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617760, Пермский край, г. Чайковский, ул. Ленина, 61а, офис 43/2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«Автомеханизация»,617761, Пермский край, г. Чайковский, ул. Промышленная, д.10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Информпечать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», 426009, УР, г. Ижевск, ул. Ленина, д. 100/3.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ОАО «Ремонтно-монтажное управление Министерства здравоохранения Удмуртской республики» 426009, г. Ижевск, ул. Ленина, дом 100/3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Кинугава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Наименование прочих организаций, в которых проводился инициативный аудит в 2015 году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 «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ИжГорЭлектроТранс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г. Ижевска 426057, УР, г. Ижевск, ул. Маяковского, д.7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AF261D" w:rsidRPr="00AF261D" w:rsidTr="00AF261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«АСМАП-Сервис» 125319, г. Москва, Ленинградский </w:t>
            </w:r>
            <w:proofErr w:type="spellStart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д.64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1D" w:rsidRPr="00AF261D" w:rsidRDefault="00AF261D" w:rsidP="00AF261D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6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</w:tbl>
    <w:p w:rsidR="008F317C" w:rsidRDefault="008F317C"/>
    <w:sectPr w:rsidR="008F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A6"/>
    <w:rsid w:val="003200A6"/>
    <w:rsid w:val="00356ECA"/>
    <w:rsid w:val="006804FA"/>
    <w:rsid w:val="008F317C"/>
    <w:rsid w:val="00A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2018-04-24T06:00:00Z</dcterms:created>
  <dcterms:modified xsi:type="dcterms:W3CDTF">2018-04-24T06:19:00Z</dcterms:modified>
</cp:coreProperties>
</file>